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E64B8" w:rsidRP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8313D">
        <w:rPr>
          <w:rFonts w:ascii="Times New Roman" w:hAnsi="Times New Roman" w:cs="Times New Roman"/>
          <w:sz w:val="24"/>
          <w:szCs w:val="24"/>
        </w:rPr>
        <w:t>3</w:t>
      </w:r>
      <w:r w:rsidR="003226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26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2021 г. № </w:t>
      </w:r>
      <w:r w:rsidR="003226CF">
        <w:rPr>
          <w:rFonts w:ascii="Times New Roman" w:hAnsi="Times New Roman" w:cs="Times New Roman"/>
          <w:sz w:val="24"/>
          <w:szCs w:val="24"/>
        </w:rPr>
        <w:t>4</w:t>
      </w:r>
    </w:p>
    <w:p w:rsidR="00FE7EB4" w:rsidRDefault="00FE7EB4" w:rsidP="00FE7E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E7EB4" w:rsidSect="00017560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30.04.2021 г. № 106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1A3AD5" w:rsidRPr="001A3AD5" w:rsidRDefault="001A3AD5" w:rsidP="001A3AD5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ОБ ИСПОЛНЕНИИ БЮДЖЕТА</w:t>
      </w: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ЗА 2020 ГОД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3AD5" w:rsidRPr="001A3AD5" w:rsidRDefault="001A3AD5" w:rsidP="001A3AD5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Бюджетным процессом МО «Хохорск», Уставом МО «Хохорск», рассмотрев представленный отчет об исполнении бюджета муниципального образования, Дума</w:t>
      </w:r>
    </w:p>
    <w:p w:rsidR="001A3AD5" w:rsidRPr="001A3AD5" w:rsidRDefault="001A3AD5" w:rsidP="001A3AD5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1. Утвердить отчет об исполнении бюджета муниципального образования «Хохорск» за 2020 год: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1.1. По доходам бюджета муниципального образования в сумме 21 765 632,74 руб. согласно приложению №1.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1.2. По расходам бюджета муниципального образования по разделам, подразделам, целевым статьям, видам расходов классификации расходов в сумме 23 078 976,45  руб. согласно приложению №2.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2. Настоящее решение опубликовать в Вестнике МО «Хохорск» и разместить на официальном сайте администрации МО «</w:t>
      </w:r>
      <w:proofErr w:type="spellStart"/>
      <w:r w:rsidRPr="001A3AD5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A3AD5">
        <w:rPr>
          <w:rFonts w:ascii="Times New Roman" w:hAnsi="Times New Roman" w:cs="Times New Roman"/>
          <w:sz w:val="16"/>
          <w:szCs w:val="16"/>
        </w:rPr>
        <w:t xml:space="preserve"> район».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Председатель Думы</w:t>
      </w:r>
    </w:p>
    <w:p w:rsidR="001A3AD5" w:rsidRPr="001A3AD5" w:rsidRDefault="001A3AD5" w:rsidP="001A3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lastRenderedPageBreak/>
        <w:t>Глава муниципального образования «Хохорск»</w:t>
      </w:r>
    </w:p>
    <w:p w:rsidR="001A3AD5" w:rsidRPr="001A3AD5" w:rsidRDefault="001A3AD5" w:rsidP="001A3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A3AD5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1A3AD5" w:rsidRPr="001A3AD5" w:rsidRDefault="001A3AD5" w:rsidP="001713B9">
      <w:pPr>
        <w:spacing w:after="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 xml:space="preserve">ПОЯСНИТЕЛЬНАЯ ЗАПИСКА </w:t>
      </w:r>
    </w:p>
    <w:p w:rsidR="001A3AD5" w:rsidRPr="001A3AD5" w:rsidRDefault="001A3AD5" w:rsidP="001A3A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К  ОТЧЕТУ ОБ ИСПОЛНЕНИИ БЮДЖЕТА</w:t>
      </w:r>
    </w:p>
    <w:p w:rsidR="001A3AD5" w:rsidRPr="001A3AD5" w:rsidRDefault="001A3AD5" w:rsidP="001A3A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 xml:space="preserve">МО «ХОХОРСК» ЗА 2020 ГОД </w:t>
      </w:r>
      <w:r w:rsidRPr="001A3AD5">
        <w:rPr>
          <w:rFonts w:ascii="Times New Roman" w:hAnsi="Times New Roman" w:cs="Times New Roman"/>
          <w:b/>
          <w:sz w:val="16"/>
          <w:szCs w:val="16"/>
        </w:rPr>
        <w:br/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Доходы бюджета исполнены в сумме 21765,6 тыс. рублей (из них 76,3 %, или 16619,3 тыс. рублей - безвозмездные поступления) расходы – в сумме 23078,9 тыс. рублей с дефицитом в сумме 1313,3 тыс. рублей.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Годовые бюджетные назначения по доходам исполнены на 99%, по расходам – 97%.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По сравнению с уровнем 2019 года доходы поселения уменьшились на 721,3 тыс. рублей или на 3,3%, в основном за счет уменьшения акцизов по подакцизным товарам (продукции), производимым на территории РФ на 7,7 тыс. рублей, налога на совокупный доход на 84,6 тыс. рублей или на 25,6% , доходов от использования имущества на 528,8 тыс. рублей или на 50,7%.</w:t>
      </w:r>
      <w:proofErr w:type="gramEnd"/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Доходы бюджета поселения за 2020 год</w:t>
      </w:r>
    </w:p>
    <w:p w:rsidR="001A3AD5" w:rsidRPr="001A3AD5" w:rsidRDefault="001A3AD5" w:rsidP="001A3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Из поступивших доходов в бюджет поселения налоговые и неналоговые доходы составили всего 23,6% (5146,4 тыс. рублей), безвозмездные поступления – 76,3% 9 (16619,3 тыс. рублей).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Основными источниками поступлений в структуре налоговых и неналоговых доходов поселения являются акцизы по подакцизным товарам (продукции), производимым на территории РФ – 2406,7 тыс. рублей (46,7%),  налог на имущество – 1340,8 тыс. рублей (26,0%),  налог на совокупный доход  - 246,6 тыс. рублей  (4,7%),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доходы от продажи материальных и нематериальных активов – 73,3 тыс. рублей (1,4%),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доходы от использования имущества находящегося в государственной и муниципальной собственности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- 514,3 тыс. рублей (9,9%), налог на доходы физических лиц – 547,8  тыс. руб. (10,6%).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Исполнение бюджета по доходам за 2020 год представлено в таблице.</w:t>
      </w:r>
    </w:p>
    <w:p w:rsidR="001A3AD5" w:rsidRPr="001A3AD5" w:rsidRDefault="001A3AD5" w:rsidP="001A3A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ab/>
        <w:t>(тыс. рублей)</w:t>
      </w:r>
    </w:p>
    <w:p w:rsidR="001A3AD5" w:rsidRPr="001A3AD5" w:rsidRDefault="001A3AD5" w:rsidP="001A3A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713B9" w:rsidRDefault="001713B9" w:rsidP="005E4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1713B9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  <w:bookmarkStart w:id="0" w:name="_Hlk416342274"/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49"/>
        <w:gridCol w:w="1103"/>
      </w:tblGrid>
      <w:tr w:rsidR="001A3AD5" w:rsidRPr="001A3AD5" w:rsidTr="005E4B1E">
        <w:tc>
          <w:tcPr>
            <w:tcW w:w="3227" w:type="dxa"/>
            <w:vMerge w:val="restart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551" w:type="dxa"/>
            <w:gridSpan w:val="2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в редакции решений Думы МО «Хохорск»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Отклонение уточненной редакции </w:t>
            </w:r>
            <w:proofErr w:type="gramStart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первоначальной  </w:t>
            </w: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гр.3-гр.2</w:t>
            </w:r>
          </w:p>
        </w:tc>
        <w:tc>
          <w:tcPr>
            <w:tcW w:w="2552" w:type="dxa"/>
            <w:gridSpan w:val="2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2020 год</w:t>
            </w:r>
          </w:p>
        </w:tc>
      </w:tr>
      <w:tr w:rsidR="001A3AD5" w:rsidRPr="001A3AD5" w:rsidTr="005E4B1E">
        <w:tc>
          <w:tcPr>
            <w:tcW w:w="3227" w:type="dxa"/>
            <w:vMerge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24.12.2019г. №68</w:t>
            </w:r>
          </w:p>
        </w:tc>
        <w:tc>
          <w:tcPr>
            <w:tcW w:w="1275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26.12.2020г. №99</w:t>
            </w:r>
          </w:p>
        </w:tc>
        <w:tc>
          <w:tcPr>
            <w:tcW w:w="1418" w:type="dxa"/>
            <w:vMerge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на 01.01.2021</w:t>
            </w:r>
          </w:p>
        </w:tc>
        <w:tc>
          <w:tcPr>
            <w:tcW w:w="1103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A3AD5" w:rsidRPr="001A3AD5" w:rsidTr="005E4B1E">
        <w:tc>
          <w:tcPr>
            <w:tcW w:w="9748" w:type="dxa"/>
            <w:gridSpan w:val="6"/>
            <w:vAlign w:val="center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</w:t>
            </w:r>
          </w:p>
        </w:tc>
      </w:tr>
      <w:bookmarkEnd w:id="0"/>
      <w:tr w:rsidR="001A3AD5" w:rsidRPr="001A3AD5" w:rsidTr="005E4B1E">
        <w:tc>
          <w:tcPr>
            <w:tcW w:w="3227" w:type="dxa"/>
            <w:vAlign w:val="center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4622,0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5244,0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622,0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5146,4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547,0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547,8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2695,0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2508,9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-186,1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2406,7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-166,5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246,6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rPr>
          <w:trHeight w:val="361"/>
        </w:trPr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-166,5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246,6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Налог на имущество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1337,0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1340,8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1176,3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-55,5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514,3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rPr>
          <w:trHeight w:val="429"/>
        </w:trPr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15305,6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16619,3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1313,7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16619,3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13283,9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14340,1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1056,2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14340,1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1672,1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1672,1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-591,9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1792,1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107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349,6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377,7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377,7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418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9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03" w:type="dxa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c>
          <w:tcPr>
            <w:tcW w:w="3227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19927,6</w:t>
            </w:r>
          </w:p>
        </w:tc>
        <w:tc>
          <w:tcPr>
            <w:tcW w:w="1275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21863,3</w:t>
            </w:r>
          </w:p>
        </w:tc>
        <w:tc>
          <w:tcPr>
            <w:tcW w:w="1418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1935,7</w:t>
            </w:r>
          </w:p>
        </w:tc>
        <w:tc>
          <w:tcPr>
            <w:tcW w:w="1449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21765,6</w:t>
            </w:r>
          </w:p>
        </w:tc>
        <w:tc>
          <w:tcPr>
            <w:tcW w:w="1103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</w:t>
            </w:r>
          </w:p>
        </w:tc>
      </w:tr>
      <w:tr w:rsidR="001A3AD5" w:rsidRPr="001A3AD5" w:rsidTr="005E4B1E">
        <w:tc>
          <w:tcPr>
            <w:tcW w:w="3227" w:type="dxa"/>
            <w:shd w:val="clear" w:color="auto" w:fill="BFBFBF"/>
            <w:vAlign w:val="center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20158,7</w:t>
            </w:r>
          </w:p>
        </w:tc>
        <w:tc>
          <w:tcPr>
            <w:tcW w:w="1275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23682,2</w:t>
            </w:r>
          </w:p>
        </w:tc>
        <w:tc>
          <w:tcPr>
            <w:tcW w:w="1418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3523,5</w:t>
            </w:r>
          </w:p>
        </w:tc>
        <w:tc>
          <w:tcPr>
            <w:tcW w:w="1449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23078,9</w:t>
            </w:r>
          </w:p>
        </w:tc>
        <w:tc>
          <w:tcPr>
            <w:tcW w:w="1103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</w:tr>
      <w:tr w:rsidR="001A3AD5" w:rsidRPr="001A3AD5" w:rsidTr="005E4B1E">
        <w:tc>
          <w:tcPr>
            <w:tcW w:w="3227" w:type="dxa"/>
            <w:shd w:val="clear" w:color="auto" w:fill="BFBFBF"/>
            <w:vAlign w:val="center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ДЕФИЦИТ, ПРОФИЦИТ</w:t>
            </w:r>
            <w:proofErr w:type="gramStart"/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(-, +)</w:t>
            </w:r>
            <w:proofErr w:type="gramEnd"/>
          </w:p>
        </w:tc>
        <w:tc>
          <w:tcPr>
            <w:tcW w:w="1276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231,1</w:t>
            </w:r>
          </w:p>
        </w:tc>
        <w:tc>
          <w:tcPr>
            <w:tcW w:w="1275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1818,9</w:t>
            </w:r>
          </w:p>
        </w:tc>
        <w:tc>
          <w:tcPr>
            <w:tcW w:w="1418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1587,8</w:t>
            </w:r>
          </w:p>
        </w:tc>
        <w:tc>
          <w:tcPr>
            <w:tcW w:w="1449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1313,3</w:t>
            </w:r>
          </w:p>
        </w:tc>
        <w:tc>
          <w:tcPr>
            <w:tcW w:w="1103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</w:t>
            </w:r>
          </w:p>
        </w:tc>
      </w:tr>
      <w:tr w:rsidR="001A3AD5" w:rsidRPr="001A3AD5" w:rsidTr="005E4B1E">
        <w:tc>
          <w:tcPr>
            <w:tcW w:w="3227" w:type="dxa"/>
            <w:shd w:val="clear" w:color="auto" w:fill="BFBFBF"/>
            <w:vAlign w:val="bottom"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Дефицит, % от объема доходов без учета безвозмездных поступлений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BFBFBF"/>
            <w:vAlign w:val="bottom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49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</w:tbl>
    <w:p w:rsidR="001713B9" w:rsidRDefault="001713B9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1713B9" w:rsidSect="001713B9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За 2020 год поступило доходов в бюджет поселения в сумме 21765,6 тыс. рублей или 99% от плановых назначений,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из них налоговых доходов бюджета в сумме 4541,9 тыс. рублей или 97,8% от плановых назначений, неналоговых доходов бюджета в сумме 604,5 или 100% от плановых назначений.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Структура доходов бюджета за 2020 год показана на диаграмме.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noProof/>
          <w:color w:val="FF0000"/>
          <w:sz w:val="16"/>
          <w:szCs w:val="16"/>
        </w:rPr>
        <w:drawing>
          <wp:inline distT="0" distB="0" distL="0" distR="0" wp14:anchorId="0F359C15" wp14:editId="16B18A21">
            <wp:extent cx="5924550" cy="17430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Размер налоговых доходов – 4541,9 тыс. рублей (удельный вес в объеме собственных доходов – 88,2%, в объеме всех доходов поселения – 20,8%).</w:t>
      </w: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Доля неналоговых доходов в собственных доходах поселения составляет 11,7%, или 604,5 тыс. рублей,</w:t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в объеме всех доходов поселения – 2,7%.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Наибольший удельный вес 76,3% в структуре доходов МО «Хохорск» составляют межбюджетные трансферты, полученные в 2020 году из областного бюджета и бюджета муниципального образования «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Боханский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район».</w:t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</w:p>
    <w:p w:rsidR="001A3AD5" w:rsidRPr="001A3AD5" w:rsidRDefault="001A3AD5" w:rsidP="001A3A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>Налоговые доходы.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 2020 году поступило налоговых доходов в сумме 4541,9 тыс. рублей, или 97,8% от плановых назначений.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gramStart"/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Основную долю налоговых поступлений составляют акцизы по подакцизным товарам (продукции), производимым на территории РФ –2406,7 тыс. рублей, или 46,7%,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налог на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имущество </w:t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– 1340,8тыс.      рублей, или 26,0%, земельный налог за год поступил в объеме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1176,3 тыс. рублей или 22,8%, налог на совокупный доход – 246,6 тыс. руб.  или 4,7% </w:t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от поступивших налоговых доходов.</w:t>
      </w:r>
      <w:proofErr w:type="gramEnd"/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Объем поступлений налога на доходы физических лиц запланирован в объеме 547,8 тыс. рублей или 100%.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</w:p>
    <w:p w:rsidR="001A3AD5" w:rsidRPr="001A3AD5" w:rsidRDefault="001A3AD5" w:rsidP="001A3AD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 xml:space="preserve">                                               Неналоговые доходы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  2020 году поступило неналоговых доходов в сумме 604,5 тыс. рублей, или 100% от плановых назначений. Основную долю неналоговых поступлений</w:t>
      </w:r>
      <w:r w:rsidRPr="001A3AD5"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  <w:t xml:space="preserve">              </w:t>
      </w:r>
      <w:r w:rsidRPr="001A3AD5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составляют доходы от использования имущества находящегося в государственной и муниципальной собственности, составили 514,3 тыс. рублей, или 100% от плановых назначений.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en-US"/>
        </w:rPr>
      </w:pPr>
      <w:r w:rsidRPr="001A3AD5"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  <w:t xml:space="preserve">       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Безвозмездные поступления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Безвозмездные поступления в общем объеме доходов бюджета МО «Хохорск» составили 76,3% (16619,3 тыс. рублей).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По состоянию на 1 января 2021 года доходы бюджета поселения по группе «Безвозмездные поступления» исполнены в сумме 16619,3 тыс. рублей или 100% от плановых поступлений. Снижение по отношению к 2019 году на 1,3% или на 214,6 тыс. рублей.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Безвозмездные поступления составили 16619,3 тыс. рублей, в том числе: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дотация бюджетам сельских поселений на выравнивание бюджетной обеспеченности – 14340,1 тыс. рублей, или 100% к плану;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– 591,.9 тыс. рублей, или 107% к плану;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субвенции бюджетам субъектов Российской Федерации и муниципальных образований поступило 377,7 тыс. рублей или 100%.</w:t>
      </w: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noProof/>
          <w:color w:val="000000"/>
          <w:sz w:val="16"/>
          <w:szCs w:val="16"/>
        </w:rPr>
        <w:t xml:space="preserve">               </w:t>
      </w: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noProof/>
          <w:color w:val="000000"/>
          <w:sz w:val="16"/>
          <w:szCs w:val="16"/>
        </w:rPr>
        <w:t>Расходы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бюджета поселения за 2020 год</w:t>
      </w: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На 01.01.2021 расходы бюджета поселения составили 23078,9 тыс. рублей при плановых назначениях 23682,2 рублей,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lastRenderedPageBreak/>
        <w:t>или 97%.</w:t>
      </w:r>
    </w:p>
    <w:p w:rsidR="001A3AD5" w:rsidRPr="001A3AD5" w:rsidRDefault="001A3AD5" w:rsidP="001A3AD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p w:rsidR="001713B9" w:rsidRDefault="001713B9" w:rsidP="005E4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1713B9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tbl>
      <w:tblPr>
        <w:tblW w:w="965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1134"/>
        <w:gridCol w:w="1276"/>
        <w:gridCol w:w="993"/>
        <w:gridCol w:w="993"/>
      </w:tblGrid>
      <w:tr w:rsidR="001A3AD5" w:rsidRPr="001A3AD5" w:rsidTr="005E4B1E">
        <w:trPr>
          <w:cantSplit/>
          <w:trHeight w:val="12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 поселения на 2020 год </w:t>
            </w: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на 01.01.2021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исп. к плану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ес </w:t>
            </w:r>
          </w:p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%</w:t>
            </w:r>
          </w:p>
        </w:tc>
      </w:tr>
      <w:tr w:rsidR="001A3AD5" w:rsidRPr="001A3AD5" w:rsidTr="005E4B1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23078,9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8942,8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38,7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«Функционирование Правительства РФ, высших исполнительных органов государственной власти субъектов,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«Резервные фонды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3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«Другие 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«Национальная оборона»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1,5</w:t>
            </w:r>
          </w:p>
        </w:tc>
      </w:tr>
      <w:tr w:rsidR="001A3AD5" w:rsidRPr="001A3AD5" w:rsidTr="005E4B1E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«Мобилизационная и вневойсковая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«Национальная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14,0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«Общеэкономические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«Дорожное хозяйство (дорожные фонды)»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A3AD5" w:rsidRPr="001A3AD5" w:rsidTr="005E4B1E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</w:t>
            </w:r>
            <w:proofErr w:type="spellEnd"/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11,9</w:t>
            </w:r>
          </w:p>
        </w:tc>
      </w:tr>
      <w:tr w:rsidR="001A3AD5" w:rsidRPr="001A3AD5" w:rsidTr="005E4B1E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1614</w:t>
            </w: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</w:tr>
      <w:tr w:rsidR="001A3AD5" w:rsidRPr="001A3AD5" w:rsidTr="005E4B1E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1A3AD5" w:rsidRPr="001A3AD5" w:rsidTr="005E4B1E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«Культура, кинематография»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33,2</w:t>
            </w:r>
          </w:p>
        </w:tc>
      </w:tr>
      <w:tr w:rsidR="001A3AD5" w:rsidRPr="001A3AD5" w:rsidTr="005E4B1E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</w:tr>
      <w:tr w:rsidR="001A3AD5" w:rsidRPr="001A3AD5" w:rsidTr="005E4B1E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1A3AD5" w:rsidRPr="001A3AD5" w:rsidTr="005E4B1E">
        <w:trPr>
          <w:trHeight w:val="2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AD5" w:rsidRPr="001A3AD5" w:rsidRDefault="001A3AD5" w:rsidP="005E4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«Иные межбюджетные трансферты»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D5" w:rsidRPr="001A3AD5" w:rsidRDefault="001A3AD5" w:rsidP="005E4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713B9" w:rsidRDefault="001713B9" w:rsidP="001A3A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1713B9" w:rsidSect="001713B9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При исполнении бюджета наибольший удельный вес 38,7% в структуре расходов МО «Хохорск» составляют расходы по разделу 0100 «Общегосударственные вопросы», 33,2% по разделу 0800 «Культура, кинематография. Структура расходов бюджета МО за 2020 год приведена на диаграмме.</w:t>
      </w:r>
      <w:r w:rsidRPr="001A3AD5">
        <w:rPr>
          <w:rFonts w:ascii="Times New Roman" w:hAnsi="Times New Roman" w:cs="Times New Roman"/>
          <w:noProof/>
          <w:color w:val="FF0000"/>
          <w:sz w:val="16"/>
          <w:szCs w:val="16"/>
        </w:rPr>
        <w:drawing>
          <wp:inline distT="0" distB="0" distL="0" distR="0" wp14:anchorId="7E820AF8" wp14:editId="5DEBBF55">
            <wp:extent cx="5905500" cy="33242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По состоянию на 01.01.2021 по разделу 0100 «Общегосударственные вопросы» исполнение по расходам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lastRenderedPageBreak/>
        <w:t>составило 8942,8 тыс. рублей, или 94% от плановых назначений, по разделу 0800 «Культура, кинематография» исполнение составило 7645,3 тыс. рублей, или 100% от плановых назначений, по разделу «Национальная экономика» исполнение составило 3 236,9 тыс. рублей, или 54% от плановых назначений, по разделу 0500 «Жилищно-коммунальное хозяйство»  исполнение составило 2753,0 тыс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. рублей, или 100% от плановых назначений, по разделу «Национальная оборона» исполнение составило 335,3 тыс. рублей, или 100% от плановых назначений, по разделу «Межбюджетные трансферты» исполнение составило 165,6 тыс. рублей, или 100% от плановых назначений.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По разделу 0100 «Общегосударственные вопросы», подразделу 0102 «Функционирование высшего должностного лица субъекта РФ и муниципального образования»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при плане 1719,9 тыс. рублей израсходовано 1571,5 тыс. рублей, или 91%, в том числе на оплату труда (КВР 121) – 1207,3тыс. рублей, начисления на оплату труда (КВР 129) – 364,2 тыс. рублей.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По подразделу 0104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«Функционирование Правительства РФ, высших исполнительных органов государственной власти субъектов, местных администраций»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при плане 7791,6 тыс. рублей израсходовано 7370,6   тыс. рублей, или 95%, в том числе на оплату труда (КВР 121) – 4660,1 тыс. рублей, начисления на оплату труда (КВР 129) – 1407,1тыс. рублей, оплата налогов, сборов и иных платежей (КВР 850) – 167,9 тыс. рублей, (КВР 244) – 1135,5 тыс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. рублей.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Расходы 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по подразделу 0111 «Резервные фонды»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План составил 30,0 тыс. рублей, что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или 0,1% от общего объема расходов.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Использования средств резервного фонда в 2020 году не было.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>По подразделу 0113 «Другие общегосударственные вопросы»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при плане 0,7 тыс. рублей израсходовано 0,7 тыс. рублей, или 100%, в том числе на прочие закупки товаров, работ и услуг для обеспечения государственных (муниципальных) нужд (КВР 244) – 0,7 тыс. рублей.</w:t>
      </w:r>
    </w:p>
    <w:p w:rsidR="001A3AD5" w:rsidRPr="001A3AD5" w:rsidRDefault="001A3AD5" w:rsidP="001A3A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По разделу 0200 «Национальная оборона», подразделу 03 «Мобилизационная и вневойсковая подготовка» 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Исполнено в размере 335,3 тыс. рублей, в том числе на оплату труда (КВР 121) – 249,3 тыс. рублей, начисления на оплату труда (КВР 129) – 75,3 тыс. рублей, прочие закупки товаров, работ и услуг для обеспечения государственных (муниципальных) нужд (КВР 244) – 10,7 тыс. рублей.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По разделу 04 «Национальная экономика», подразделу 01 «Общеэкономические вопросы»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Исполнено в сумме 41,7 тыс. рублей (100%), в том числе на оплату труда (КВР 121) – 30,7 тыс. рублей, начисления на оплату труда (КВР 129) – 9,3 тыс. рублей, прочие закупки товаров, работ и услуг для обеспечения государственных (муниципальных) нужд (КВР 244) – 1,7 тыс. рублей.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По подразделу 09 «Дорожное хозяйство (дорожные фонды)»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Исполнено в сумме 3195,2 тыс. рублей (100%) на ремонт дороги (КВР 244) – 3195,2 тыс. рублей и произведены за счет доходов от акцизов на нефтепродукты.</w:t>
      </w:r>
    </w:p>
    <w:p w:rsidR="001A3AD5" w:rsidRPr="001A3AD5" w:rsidRDefault="001A3AD5" w:rsidP="001A3A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       - Заключен договор №09-09/20 от 09.09.2020г.  на сумму 197,2 тыс. рублей с ООО «СНаБ38» по изготовлению остановочного пункта в количестве 4 штук размером 3500х1500х2400 каждый.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По договору №3 от 02.11.2020 на сумму 132,0 тыс. рублей с ИП Коваленко Н.А.  на работы по исправлению профиля гравийной дороги с добавлением щебня по адресу: д. Ижилха, ул. Гагарина – 600 м</w:t>
      </w: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..</w:t>
      </w:r>
      <w:proofErr w:type="gramEnd"/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       - По договору от 02.11.2020 без номера с ИП Коваленко Н.А. по поставке щебня для ремонта дорог 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Ьв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сумме 467,7 тыс. рублей.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       - По договору без номера от 24.08.2020г. с ИП Коваленко Н.А. за щебень для ремонта дорог в сумме 599,0 тыс. рублей.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- По договору №2от 24.08.2020 на сумму 180,0 тыс. рублей с ИП Коваленко Н.А. произведена оплата за работу по исправлению профиля гравийной дороги с добавлением щебня по адресу: д. 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Русиновка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, ул. Школьная – 200м.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- По договору без номера от 20.05.2020 на сумму 574,3 тыс. рублей с ИП Коваленко Н.А. на работы по исправлению профиля гравийной дороги с добавлением щебня по адресу: д. Ижилха, ул. Набережная 200м. д. Шунта, ул. Школьная 300м., д. 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Новоскресенка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, ул. 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Немская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650м.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-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По муниципальному контракту №001 от 19.05.2020 на сумму 885,05 тыс. рублей с ИП Коваленко Н.А. на закупку инертных материалов (щебень) (протокол проведения электронного аукциона от 08.05.2020г. № 0134300073820000048)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Исполнение по расходам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по разделу 05 «Жилищно-коммунальное хозяйство», подразделу 02 «Коммунальное хозяйство»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составило 1614,7 тыс. рублей, или 100% от плана</w:t>
      </w: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,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в том числе на прочие закупки товаров, работ и услуг для обеспечения государственных (муниципальных) нужд (КВР 244) –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1352,3 тыс. рублей, на исполнение судебных актов (КВР 830) - 262,3 тыс. рублей.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        В рамках реализации мероприятий перечня народных инициатив заключено соглашение о предоставлении в 2020 году субсидий из областного бюджета  №05-62-37/20-12 от 12.02.2020г.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администрации МО «Хохорск» от 15.01.2020г. №7 определен перечень народных инициатив на 2020 год на общую сумму 1102300,0 рублей, в том числе за счет местного бюджета в сумме 22100,0 рублей, из областного бюджета – 1080200,0 рублей. На текущий ремонт водонапорной башни, бурение скважины в </w:t>
      </w:r>
      <w:proofErr w:type="spell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.Х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охорск</w:t>
      </w:r>
      <w:proofErr w:type="spellEnd"/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, ул. Ленина 47Г 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По подразделу 0503 «Благоустройство»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исполнение составило 1138,3 тыс. рублей, или 100% от плановых назначений (1138,3 тыс. рублей), в том числе на прочие закупки товаров, работ и услуг для обеспечения государственных (муниципальных) нужд (КВР 244) – 1138,3 тыс. рублей.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По разделу 08 «Культура, кинематография», подразделу 01 «Культура»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утверждено на 2020 год средства в размере 7649,0 тыс. рублей, исполнение 7645,3тыс. рублей, или 100% от плановых назначений. Удельный вес расходов на культуру в общем объеме расходов бюджета составляет 33,2%. По данному разделу отражена сумма предоставленной субсидии бюджетному учреждению культуры (сельский дом культуры МО «Хохорск») (КВР 610) в сумме 7645,3 тыс. рублей. </w:t>
      </w:r>
    </w:p>
    <w:p w:rsidR="001A3AD5" w:rsidRPr="001A3AD5" w:rsidRDefault="001A3AD5" w:rsidP="001A3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убсидия на выполнение муниципального задания – 7645,3 тыс. рублей.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Средства, поступившие за счет субсидии на выполнение муниципального задания направлены </w:t>
      </w:r>
      <w:proofErr w:type="gramStart"/>
      <w:r w:rsidRPr="001A3AD5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1A3AD5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оплату труда работников учреждений культуры с начислением – 7041,3 тыс. рублей;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прочие закупки товаров, работ и услуг для обеспечения государственных (муниципальных) нужд -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604,0 тыс. рублей;</w:t>
      </w:r>
    </w:p>
    <w:p w:rsidR="001A3AD5" w:rsidRPr="001A3AD5" w:rsidRDefault="001A3AD5" w:rsidP="001A3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- прочие расходы - 165,6 тыс. рублей.</w:t>
      </w:r>
    </w:p>
    <w:p w:rsidR="001A3AD5" w:rsidRPr="001A3AD5" w:rsidRDefault="001A3AD5" w:rsidP="001A3AD5">
      <w:pPr>
        <w:spacing w:after="0" w:line="240" w:lineRule="auto"/>
        <w:ind w:firstLineChars="200" w:firstLine="32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ind w:firstLineChars="200" w:firstLine="321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>По разделу «Межбюджетные трансферты общего характера бюджетам субъектов Российской Федерации и муниципальных образований» подразделу 1403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«Прочие межбюджетные трансферты общего характера» </w:t>
      </w:r>
    </w:p>
    <w:p w:rsidR="001A3AD5" w:rsidRPr="001713B9" w:rsidRDefault="001A3AD5" w:rsidP="001713B9">
      <w:pPr>
        <w:spacing w:after="0" w:line="240" w:lineRule="auto"/>
        <w:ind w:firstLineChars="200" w:firstLine="32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3AD5">
        <w:rPr>
          <w:rFonts w:ascii="Times New Roman" w:hAnsi="Times New Roman" w:cs="Times New Roman"/>
          <w:color w:val="000000"/>
          <w:sz w:val="16"/>
          <w:szCs w:val="16"/>
        </w:rPr>
        <w:t>Исполнение составило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color w:val="000000"/>
          <w:sz w:val="16"/>
          <w:szCs w:val="16"/>
        </w:rPr>
        <w:t>165,6 тыс. рублей.</w:t>
      </w:r>
      <w:r w:rsidRPr="001A3AD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3AD5">
        <w:rPr>
          <w:rFonts w:ascii="Times New Roman" w:hAnsi="Times New Roman" w:cs="Times New Roman"/>
          <w:sz w:val="16"/>
          <w:szCs w:val="16"/>
        </w:rPr>
        <w:t>Расходы произведены в соответствии с заключенными соглашениями по передаче полномочий.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A3AD5" w:rsidRPr="001A3AD5" w:rsidRDefault="001A3AD5" w:rsidP="001A3AD5">
      <w:pPr>
        <w:spacing w:after="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30.04.2021 г. № 107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A3AD5" w:rsidRPr="001A3AD5" w:rsidRDefault="001A3AD5" w:rsidP="001A3AD5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A3AD5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1A3AD5" w:rsidRPr="001A3AD5" w:rsidRDefault="001A3AD5" w:rsidP="001A3AD5">
      <w:pPr>
        <w:rPr>
          <w:rFonts w:ascii="Times New Roman" w:hAnsi="Times New Roman" w:cs="Times New Roman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 В РЕШЕНИЕ ДУМЫ </w:t>
      </w: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№ 95 ОТ 26 ДЕКАБРЯ 2020 ГОДА</w:t>
      </w:r>
    </w:p>
    <w:p w:rsidR="001A3AD5" w:rsidRPr="001A3AD5" w:rsidRDefault="001A3AD5" w:rsidP="001A3A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2021 ГОД И НА ПЛАНОВЫЙ ПЕРИОД 2022</w:t>
      </w:r>
      <w:proofErr w:type="gramStart"/>
      <w:r w:rsidRPr="001A3AD5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1A3AD5">
        <w:rPr>
          <w:rFonts w:ascii="Times New Roman" w:hAnsi="Times New Roman" w:cs="Times New Roman"/>
          <w:b/>
          <w:sz w:val="16"/>
          <w:szCs w:val="16"/>
        </w:rPr>
        <w:t xml:space="preserve"> 2023 ГОДЫ»  (В РЕДАКЦИИ РЕШЕНИЯ ДУМЫ №101 ОТ 31.03.2021 Г.)</w:t>
      </w:r>
    </w:p>
    <w:p w:rsidR="001A3AD5" w:rsidRPr="001A3AD5" w:rsidRDefault="001A3AD5" w:rsidP="001A3AD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A3AD5" w:rsidRPr="001A3AD5" w:rsidRDefault="001A3AD5" w:rsidP="001A3AD5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</w:t>
      </w:r>
    </w:p>
    <w:p w:rsidR="001A3AD5" w:rsidRPr="001A3AD5" w:rsidRDefault="001A3AD5" w:rsidP="001713B9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3AD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13B9">
        <w:rPr>
          <w:rFonts w:ascii="Times New Roman" w:hAnsi="Times New Roman" w:cs="Times New Roman"/>
          <w:b/>
          <w:sz w:val="16"/>
          <w:szCs w:val="16"/>
        </w:rPr>
        <w:t>РЕШИЛА</w:t>
      </w:r>
    </w:p>
    <w:p w:rsidR="001A3AD5" w:rsidRPr="001A3AD5" w:rsidRDefault="001A3AD5" w:rsidP="001A3AD5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Внести в решение думы № 95 от 26 декабря 2020 года следующие изменения:</w:t>
      </w:r>
    </w:p>
    <w:p w:rsidR="001A3AD5" w:rsidRPr="001A3AD5" w:rsidRDefault="001A3AD5" w:rsidP="001A3AD5">
      <w:pPr>
        <w:pStyle w:val="23"/>
        <w:spacing w:line="240" w:lineRule="auto"/>
        <w:ind w:left="480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1.1. Пункт  статью 1 изложить в следующей редакции:</w:t>
      </w:r>
    </w:p>
    <w:p w:rsidR="001A3AD5" w:rsidRPr="001A3AD5" w:rsidRDefault="001A3AD5" w:rsidP="001A3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«Утвердить основные характеристики бюджета муниципального образования «Хохорск» на 2021 год:</w:t>
      </w:r>
    </w:p>
    <w:p w:rsidR="001A3AD5" w:rsidRPr="001A3AD5" w:rsidRDefault="001A3AD5" w:rsidP="001A3AD5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общий объем доходов бюджета на 2021 год 35 499,7 тыс. руб., в том числе безвозмездные поступления в сумме  29 633,1 тыс. руб.;</w:t>
      </w:r>
    </w:p>
    <w:p w:rsidR="001A3AD5" w:rsidRPr="001A3AD5" w:rsidRDefault="001A3AD5" w:rsidP="001A3A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  общий объем расходов бюджета составит 36 298,6 тыс. руб.;</w:t>
      </w:r>
    </w:p>
    <w:p w:rsidR="001A3AD5" w:rsidRPr="001A3AD5" w:rsidRDefault="001A3AD5" w:rsidP="001A3AD5">
      <w:pPr>
        <w:pStyle w:val="ConsPlusNormal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   </w:t>
      </w:r>
      <w:r w:rsidRPr="001A3AD5">
        <w:rPr>
          <w:rFonts w:ascii="Times New Roman" w:hAnsi="Times New Roman" w:cs="Times New Roman"/>
          <w:spacing w:val="3"/>
          <w:sz w:val="16"/>
          <w:szCs w:val="16"/>
        </w:rPr>
        <w:t>размер дефицита местного бюджета в сумме 798,9 тыс. рублей, или</w:t>
      </w:r>
      <w:r w:rsidRPr="001A3AD5">
        <w:rPr>
          <w:rFonts w:ascii="Times New Roman" w:hAnsi="Times New Roman" w:cs="Times New Roman"/>
          <w:sz w:val="16"/>
          <w:szCs w:val="16"/>
        </w:rPr>
        <w:t xml:space="preserve"> 13,6%  </w:t>
      </w:r>
      <w:r w:rsidRPr="001A3AD5">
        <w:rPr>
          <w:rFonts w:ascii="Times New Roman" w:hAnsi="Times New Roman" w:cs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A3AD5" w:rsidRPr="001A3AD5" w:rsidRDefault="001A3AD5" w:rsidP="001A3A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 w:rsidRPr="001A3AD5">
        <w:rPr>
          <w:rFonts w:ascii="Times New Roman" w:hAnsi="Times New Roman" w:cs="Times New Roman"/>
          <w:spacing w:val="3"/>
          <w:sz w:val="16"/>
          <w:szCs w:val="16"/>
        </w:rPr>
        <w:t>в пределах суммы снижения остатков средств на счетах по учету средств местного бюджета в объеме 505,6 тыс. рублей</w:t>
      </w:r>
      <w:r w:rsidRPr="001A3AD5">
        <w:rPr>
          <w:rFonts w:ascii="Times New Roman" w:hAnsi="Times New Roman" w:cs="Times New Roman"/>
          <w:sz w:val="16"/>
          <w:szCs w:val="16"/>
        </w:rPr>
        <w:t>.</w:t>
      </w:r>
    </w:p>
    <w:p w:rsidR="001A3AD5" w:rsidRPr="001A3AD5" w:rsidRDefault="001A3AD5" w:rsidP="001A3AD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  </w:t>
      </w:r>
      <w:r w:rsidRPr="001A3AD5">
        <w:rPr>
          <w:rFonts w:ascii="Times New Roman" w:hAnsi="Times New Roman" w:cs="Times New Roman"/>
          <w:sz w:val="16"/>
          <w:szCs w:val="16"/>
        </w:rPr>
        <w:tab/>
        <w:t xml:space="preserve">1.2. Направить на покрытие дефицита местного бюджета на 2021 год и плановый период 2022-2023 годы поступления из источников финансирования дефицита </w:t>
      </w:r>
      <w:r w:rsidRPr="001A3AD5">
        <w:rPr>
          <w:rFonts w:ascii="Times New Roman" w:hAnsi="Times New Roman" w:cs="Times New Roman"/>
          <w:sz w:val="16"/>
          <w:szCs w:val="16"/>
        </w:rPr>
        <w:lastRenderedPageBreak/>
        <w:t>местного бюджета согласно Приложению 1 к настоящему Решению.</w:t>
      </w:r>
    </w:p>
    <w:p w:rsidR="001A3AD5" w:rsidRPr="001A3AD5" w:rsidRDefault="001A3AD5" w:rsidP="001A3AD5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         1.3. Приложение 1,2, 3, 5 изложить в новой редакции.</w:t>
      </w:r>
    </w:p>
    <w:p w:rsidR="001A3AD5" w:rsidRPr="001A3AD5" w:rsidRDefault="001A3AD5" w:rsidP="001A3AD5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подписания.</w:t>
      </w:r>
    </w:p>
    <w:p w:rsidR="001A3AD5" w:rsidRPr="001A3AD5" w:rsidRDefault="001A3AD5" w:rsidP="001A3AD5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муниципальном «Вестнике МО </w:t>
      </w:r>
    </w:p>
    <w:p w:rsidR="001A3AD5" w:rsidRPr="001A3AD5" w:rsidRDefault="001A3AD5" w:rsidP="001713B9">
      <w:pPr>
        <w:pStyle w:val="23"/>
        <w:spacing w:after="0" w:line="240" w:lineRule="auto"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«Хохорск»»  и разместить на сайте адми</w:t>
      </w:r>
      <w:r w:rsidR="001713B9">
        <w:rPr>
          <w:rFonts w:ascii="Times New Roman" w:hAnsi="Times New Roman" w:cs="Times New Roman"/>
          <w:sz w:val="16"/>
          <w:szCs w:val="16"/>
        </w:rPr>
        <w:t>нистрации МО «</w:t>
      </w:r>
      <w:proofErr w:type="spellStart"/>
      <w:r w:rsidR="001713B9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="001713B9">
        <w:rPr>
          <w:rFonts w:ascii="Times New Roman" w:hAnsi="Times New Roman" w:cs="Times New Roman"/>
          <w:sz w:val="16"/>
          <w:szCs w:val="16"/>
        </w:rPr>
        <w:t xml:space="preserve"> район».</w:t>
      </w:r>
    </w:p>
    <w:p w:rsidR="001A3AD5" w:rsidRPr="001A3AD5" w:rsidRDefault="001A3AD5" w:rsidP="001A3AD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>Председатель Думы муниципального образования  «Хохорск»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3AD5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                                  </w:t>
      </w:r>
    </w:p>
    <w:p w:rsidR="001A3AD5" w:rsidRPr="001A3AD5" w:rsidRDefault="001A3AD5" w:rsidP="001A3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A3AD5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1A3AD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A3AD5" w:rsidRPr="001713B9" w:rsidRDefault="001A3AD5" w:rsidP="001A3AD5">
      <w:pPr>
        <w:rPr>
          <w:rFonts w:ascii="Times New Roman" w:hAnsi="Times New Roman" w:cs="Times New Roman"/>
          <w:sz w:val="16"/>
          <w:szCs w:val="16"/>
        </w:rPr>
      </w:pP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15.04.2021 г. №23</w:t>
      </w: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1713B9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1713B9" w:rsidRPr="001713B9" w:rsidRDefault="001713B9" w:rsidP="001713B9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1713B9" w:rsidRPr="001713B9" w:rsidRDefault="001713B9" w:rsidP="001713B9">
      <w:pPr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713B9" w:rsidRPr="001713B9" w:rsidRDefault="001713B9" w:rsidP="001713B9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color w:val="000000"/>
          <w:sz w:val="16"/>
          <w:szCs w:val="16"/>
        </w:rPr>
        <w:t>ОБ УТВЕРЖДЕНИИ ПЕРЕЧНЯ АВАРИЙНО-ОПАСНЫХ УЧАСТКОВ И ПЕРВООЧЕРЕДНЫХ МЕР, НАПРАВЛЕННЫХ НА УСТРАНЕНИЕ ПРИЧИН И УСЛОВИЙ СОВЕРШЕНИЯ ДОРОЖНО -  ТРАНСПОРТНЫХ ПРОИСШЕСТВИЙ НА АВТОМОБИЛЬНЫХ ДОРОГАХ ОБЩЕГО  ПОЛЬЗОВАНИЯ МЕСТНОГО ЗНАЧЕНИЯ МУНИЦИПАЛЬНОГО    ОБРАЗОВАНИЯ «ХОХОРСК»</w:t>
      </w:r>
    </w:p>
    <w:p w:rsidR="001713B9" w:rsidRPr="001713B9" w:rsidRDefault="001713B9" w:rsidP="001713B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1713B9" w:rsidRPr="001713B9" w:rsidRDefault="001713B9" w:rsidP="001713B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proofErr w:type="gramStart"/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В целях снижения аварийности на автомобильных дорогах общего пользования местного значения в  муниципальном образовании «Хохорск», в соответствии с пунктом 4 статьи 6 Федерального закона от 10 декабря 1995 года № 196-ФЗ «О </w:t>
      </w:r>
      <w:r w:rsidRPr="001713B9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руководствуясь  ст. 6 Устава  муниципального образования  </w:t>
      </w:r>
      <w:proofErr w:type="gramEnd"/>
    </w:p>
    <w:p w:rsidR="001713B9" w:rsidRPr="001713B9" w:rsidRDefault="001713B9" w:rsidP="001713B9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ПОСТАНОВЛЯЮ:</w:t>
      </w:r>
    </w:p>
    <w:p w:rsidR="001713B9" w:rsidRPr="001713B9" w:rsidRDefault="001713B9" w:rsidP="001713B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        1.Утвердить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</w:p>
    <w:p w:rsidR="001713B9" w:rsidRPr="001713B9" w:rsidRDefault="001713B9" w:rsidP="001713B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         2.Опубликовать настоящее постановление с приложением в муниципальном  вестнике МО «Хохорск» и разместить на официальном сайте администрации МО «</w:t>
      </w:r>
      <w:proofErr w:type="spellStart"/>
      <w:r w:rsidRPr="001713B9">
        <w:rPr>
          <w:rFonts w:ascii="Times New Roman" w:hAnsi="Times New Roman" w:cs="Times New Roman"/>
          <w:color w:val="000000"/>
          <w:sz w:val="16"/>
          <w:szCs w:val="16"/>
        </w:rPr>
        <w:t>Боханский</w:t>
      </w:r>
      <w:proofErr w:type="spellEnd"/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 район» в информационно-телекоммуникационной сети Интернет </w:t>
      </w:r>
    </w:p>
    <w:p w:rsidR="001713B9" w:rsidRPr="001713B9" w:rsidRDefault="001713B9" w:rsidP="001713B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         3.Контроль за исполнение настоящего постановления оставляю за собой.</w:t>
      </w:r>
    </w:p>
    <w:p w:rsidR="001713B9" w:rsidRPr="001713B9" w:rsidRDefault="001713B9" w:rsidP="001713B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1713B9" w:rsidRPr="001713B9" w:rsidRDefault="001713B9" w:rsidP="00171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1713B9" w:rsidRPr="001713B9" w:rsidRDefault="001713B9" w:rsidP="00171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3B9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1713B9" w:rsidRPr="001713B9" w:rsidRDefault="001713B9" w:rsidP="001713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                                                                                                          </w:t>
      </w:r>
    </w:p>
    <w:p w:rsidR="001713B9" w:rsidRPr="001713B9" w:rsidRDefault="001713B9" w:rsidP="001713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713B9" w:rsidRPr="001713B9" w:rsidRDefault="001713B9" w:rsidP="001713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>Утверждено</w:t>
      </w:r>
    </w:p>
    <w:p w:rsidR="001713B9" w:rsidRPr="001713B9" w:rsidRDefault="001713B9" w:rsidP="001713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>постановлением главы администрации</w:t>
      </w:r>
    </w:p>
    <w:p w:rsidR="001713B9" w:rsidRPr="001713B9" w:rsidRDefault="001713B9" w:rsidP="001713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 xml:space="preserve">от 15.04.2021года № 23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3B9" w:rsidRPr="001713B9" w:rsidRDefault="001713B9" w:rsidP="001713B9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1713B9" w:rsidRPr="001713B9" w:rsidRDefault="001713B9" w:rsidP="001713B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Перечень</w:t>
      </w:r>
    </w:p>
    <w:p w:rsidR="001713B9" w:rsidRPr="001713B9" w:rsidRDefault="001713B9" w:rsidP="001713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аварийно-опасных участков и первоочередных мер, направленных на устранение </w:t>
      </w:r>
    </w:p>
    <w:p w:rsidR="001713B9" w:rsidRPr="001713B9" w:rsidRDefault="001713B9" w:rsidP="001713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причин и условий совершения дорожно-транспортных происшествий </w:t>
      </w:r>
      <w:proofErr w:type="gramStart"/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proofErr w:type="gramEnd"/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1713B9" w:rsidRPr="001713B9" w:rsidRDefault="001713B9" w:rsidP="001713B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автомобильных </w:t>
      </w:r>
      <w:proofErr w:type="gramStart"/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дорогах</w:t>
      </w:r>
      <w:proofErr w:type="gramEnd"/>
      <w:r w:rsidRPr="001713B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общего пользования местного значения </w:t>
      </w:r>
    </w:p>
    <w:p w:rsidR="001713B9" w:rsidRPr="001713B9" w:rsidRDefault="001713B9" w:rsidP="001713B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713B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1713B9" w:rsidRDefault="001713B9" w:rsidP="005E4B1E">
      <w:pPr>
        <w:rPr>
          <w:rFonts w:ascii="Times New Roman" w:hAnsi="Times New Roman" w:cs="Times New Roman"/>
          <w:color w:val="000000"/>
          <w:sz w:val="16"/>
          <w:szCs w:val="16"/>
        </w:rPr>
        <w:sectPr w:rsidR="001713B9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tbl>
      <w:tblPr>
        <w:tblW w:w="63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17"/>
        <w:gridCol w:w="2866"/>
        <w:gridCol w:w="1835"/>
        <w:gridCol w:w="3000"/>
        <w:gridCol w:w="1897"/>
      </w:tblGrid>
      <w:tr w:rsidR="001713B9" w:rsidRPr="001713B9" w:rsidTr="001713B9">
        <w:trPr>
          <w:tblCellSpacing w:w="15" w:type="dxa"/>
        </w:trPr>
        <w:tc>
          <w:tcPr>
            <w:tcW w:w="224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26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101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</w:t>
            </w:r>
          </w:p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аварийного участка</w:t>
            </w:r>
          </w:p>
        </w:tc>
        <w:tc>
          <w:tcPr>
            <w:tcW w:w="700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аварийного участка, м</w:t>
            </w:r>
            <w:proofErr w:type="gramStart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53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Первоочередные</w:t>
            </w:r>
          </w:p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меры</w:t>
            </w:r>
          </w:p>
        </w:tc>
        <w:tc>
          <w:tcPr>
            <w:tcW w:w="719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1713B9" w:rsidRPr="001713B9" w:rsidTr="001713B9">
        <w:trPr>
          <w:tblCellSpacing w:w="15" w:type="dxa"/>
        </w:trPr>
        <w:tc>
          <w:tcPr>
            <w:tcW w:w="224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 Хохорск</w:t>
            </w:r>
          </w:p>
        </w:tc>
        <w:tc>
          <w:tcPr>
            <w:tcW w:w="1101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Хохорск</w:t>
            </w:r>
          </w:p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(ул. Ленина, дорога  в районе МБОУ «</w:t>
            </w:r>
            <w:proofErr w:type="spellStart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Хохорская</w:t>
            </w:r>
            <w:proofErr w:type="spellEnd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СОШ)</w:t>
            </w:r>
          </w:p>
        </w:tc>
        <w:tc>
          <w:tcPr>
            <w:tcW w:w="700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53" w:type="pct"/>
            <w:vAlign w:val="center"/>
            <w:hideMark/>
          </w:tcPr>
          <w:p w:rsidR="001713B9" w:rsidRPr="001713B9" w:rsidRDefault="001713B9" w:rsidP="005E4B1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текущему ремонту асфальтобетонного покрытия,</w:t>
            </w:r>
            <w:r w:rsidRPr="001713B9"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устройство искусственных неровностей,  установка соответствующих дорожных знаков, устройство светофоров типа Т.7, установка пешеходных ограждений. Нанесение дорожной разметки 1.14.1 (бело-желтые полосы) термопластиком, установка стационарного электрического освещения</w:t>
            </w:r>
          </w:p>
        </w:tc>
        <w:tc>
          <w:tcPr>
            <w:tcW w:w="719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sz w:val="16"/>
                <w:szCs w:val="16"/>
              </w:rPr>
              <w:t>Июнь-август 2021</w:t>
            </w:r>
          </w:p>
        </w:tc>
      </w:tr>
      <w:tr w:rsidR="001713B9" w:rsidRPr="001713B9" w:rsidTr="001713B9">
        <w:trPr>
          <w:tblCellSpacing w:w="15" w:type="dxa"/>
        </w:trPr>
        <w:tc>
          <w:tcPr>
            <w:tcW w:w="224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Хохорск  </w:t>
            </w:r>
          </w:p>
        </w:tc>
        <w:tc>
          <w:tcPr>
            <w:tcW w:w="1101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Хохорск (ул. Ленина  в районе МБДОУ </w:t>
            </w:r>
            <w:proofErr w:type="spellStart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Хохорский</w:t>
            </w:r>
            <w:proofErr w:type="spellEnd"/>
            <w:r w:rsidRPr="00171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детский сад)</w:t>
            </w:r>
          </w:p>
        </w:tc>
        <w:tc>
          <w:tcPr>
            <w:tcW w:w="700" w:type="pct"/>
            <w:vAlign w:val="center"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53" w:type="pct"/>
            <w:vAlign w:val="center"/>
            <w:hideMark/>
          </w:tcPr>
          <w:p w:rsidR="001713B9" w:rsidRPr="001713B9" w:rsidRDefault="001713B9" w:rsidP="005E4B1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3B9"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Устройство светофоров типа Т.7, установка пешеходных ограждений, нанесение дорожной разметки 1.14.1 (бело-желтые полосы) термопластиком, устройство искусственной неровности, совмещенной с пешеходным переходом, применение дорожных знаков 5.19.1, 5.19.2, 3.24. </w:t>
            </w:r>
          </w:p>
        </w:tc>
        <w:tc>
          <w:tcPr>
            <w:tcW w:w="719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3B9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proofErr w:type="gramStart"/>
            <w:r w:rsidRPr="001713B9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1713B9">
              <w:rPr>
                <w:rFonts w:ascii="Times New Roman" w:hAnsi="Times New Roman" w:cs="Times New Roman"/>
                <w:sz w:val="16"/>
                <w:szCs w:val="16"/>
              </w:rPr>
              <w:t xml:space="preserve">   август 2021г</w:t>
            </w:r>
          </w:p>
        </w:tc>
      </w:tr>
    </w:tbl>
    <w:p w:rsidR="001713B9" w:rsidRDefault="001713B9" w:rsidP="005E4B1E">
      <w:pPr>
        <w:rPr>
          <w:rFonts w:ascii="Times New Roman" w:hAnsi="Times New Roman" w:cs="Times New Roman"/>
          <w:color w:val="000000"/>
          <w:sz w:val="16"/>
          <w:szCs w:val="16"/>
        </w:rPr>
        <w:sectPr w:rsidR="001713B9" w:rsidSect="001713B9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tbl>
      <w:tblPr>
        <w:tblW w:w="63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129"/>
        <w:gridCol w:w="1337"/>
        <w:gridCol w:w="861"/>
        <w:gridCol w:w="1399"/>
        <w:gridCol w:w="898"/>
      </w:tblGrid>
      <w:tr w:rsidR="001713B9" w:rsidRPr="001713B9" w:rsidTr="001713B9">
        <w:trPr>
          <w:tblCellSpacing w:w="15" w:type="dxa"/>
        </w:trPr>
        <w:tc>
          <w:tcPr>
            <w:tcW w:w="224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Align w:val="center"/>
            <w:hideMark/>
          </w:tcPr>
          <w:p w:rsidR="001713B9" w:rsidRPr="001713B9" w:rsidRDefault="001713B9" w:rsidP="005E4B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713B9" w:rsidRPr="001713B9" w:rsidRDefault="001713B9" w:rsidP="001713B9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1713B9" w:rsidRPr="001713B9" w:rsidRDefault="001713B9" w:rsidP="001713B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20.04.2021 г. №24</w:t>
      </w:r>
    </w:p>
    <w:p w:rsidR="001713B9" w:rsidRPr="001713B9" w:rsidRDefault="001713B9" w:rsidP="001713B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713B9" w:rsidRPr="001713B9" w:rsidRDefault="001713B9" w:rsidP="001713B9">
      <w:pPr>
        <w:pStyle w:val="ac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713B9" w:rsidRPr="001713B9" w:rsidRDefault="001713B9" w:rsidP="001713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БОХАНСКИЙ МУНИЦИПАЛЬНЫЙ РАЙОН</w:t>
      </w:r>
      <w:r w:rsidRPr="001713B9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713B9" w:rsidRPr="001713B9" w:rsidRDefault="001713B9" w:rsidP="001713B9">
      <w:pPr>
        <w:pStyle w:val="ac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1713B9" w:rsidRPr="001713B9" w:rsidRDefault="001713B9" w:rsidP="001713B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3B9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713B9" w:rsidRPr="001713B9" w:rsidRDefault="001713B9" w:rsidP="001713B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3B9" w:rsidRPr="001713B9" w:rsidRDefault="001713B9" w:rsidP="001713B9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ОБ УТВЕРЖДЕНИИ НАЧАЛЬНОЙ (МАКСИМАЛЬНОЙ) ЦЕНЫ </w:t>
      </w:r>
    </w:p>
    <w:p w:rsidR="001713B9" w:rsidRPr="001713B9" w:rsidRDefault="001713B9" w:rsidP="001713B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3B9" w:rsidRPr="001713B9" w:rsidRDefault="001713B9" w:rsidP="001713B9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Руководствуясь п.5 статьи 6 Устава муниципального образования     </w:t>
      </w:r>
    </w:p>
    <w:p w:rsidR="001713B9" w:rsidRPr="001713B9" w:rsidRDefault="001713B9" w:rsidP="001713B9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«Хохорск»:</w:t>
      </w:r>
    </w:p>
    <w:p w:rsidR="001713B9" w:rsidRPr="001713B9" w:rsidRDefault="001713B9" w:rsidP="001713B9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Утвердить начальную (максимальную) цену со следующими технико-экономическими показателями:</w:t>
      </w:r>
    </w:p>
    <w:p w:rsidR="001713B9" w:rsidRPr="001713B9" w:rsidRDefault="001713B9" w:rsidP="001713B9">
      <w:pPr>
        <w:pStyle w:val="21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Виды работ – выполнение работ по установке дорожных знаков на стойках, установке светофоров Т.7.2, установке ИДН (МБОУ «</w:t>
      </w:r>
      <w:proofErr w:type="spellStart"/>
      <w:r w:rsidRPr="001713B9">
        <w:rPr>
          <w:rFonts w:ascii="Times New Roman" w:hAnsi="Times New Roman" w:cs="Times New Roman"/>
          <w:sz w:val="16"/>
          <w:szCs w:val="16"/>
        </w:rPr>
        <w:t>Хохорская</w:t>
      </w:r>
      <w:proofErr w:type="spellEnd"/>
      <w:r w:rsidRPr="001713B9">
        <w:rPr>
          <w:rFonts w:ascii="Times New Roman" w:hAnsi="Times New Roman" w:cs="Times New Roman"/>
          <w:sz w:val="16"/>
          <w:szCs w:val="16"/>
        </w:rPr>
        <w:t xml:space="preserve"> СОШ»), Показатель сметной стоимости в ценах по состоянию на 1 квартал 2021 года  - 349,157 тыс. руб.</w:t>
      </w:r>
    </w:p>
    <w:p w:rsidR="001713B9" w:rsidRPr="001713B9" w:rsidRDefault="001713B9" w:rsidP="001713B9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Утвердить начальную (максимальную) цену со следующими технико-экономическими показателями:</w:t>
      </w:r>
    </w:p>
    <w:p w:rsidR="001713B9" w:rsidRPr="001713B9" w:rsidRDefault="001713B9" w:rsidP="001713B9">
      <w:pPr>
        <w:pStyle w:val="21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>Виды работ – выполнение работ по установке дорожных знаков на стойках, установке светофоров Т.7.2, установке ИДН (МБДОУ «</w:t>
      </w:r>
      <w:proofErr w:type="spellStart"/>
      <w:r w:rsidRPr="001713B9">
        <w:rPr>
          <w:rFonts w:ascii="Times New Roman" w:hAnsi="Times New Roman" w:cs="Times New Roman"/>
          <w:sz w:val="16"/>
          <w:szCs w:val="16"/>
        </w:rPr>
        <w:t>Хохорский</w:t>
      </w:r>
      <w:proofErr w:type="spellEnd"/>
      <w:r w:rsidRPr="001713B9">
        <w:rPr>
          <w:rFonts w:ascii="Times New Roman" w:hAnsi="Times New Roman" w:cs="Times New Roman"/>
          <w:sz w:val="16"/>
          <w:szCs w:val="16"/>
        </w:rPr>
        <w:t xml:space="preserve"> детский сад»), Показатель сметной стоимости в ценах по состоянию на 1 квартал 2021 года  - 348,718 тыс. руб.</w:t>
      </w:r>
    </w:p>
    <w:p w:rsidR="001713B9" w:rsidRPr="001713B9" w:rsidRDefault="001713B9" w:rsidP="001713B9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 Настоящее постановление опубликовать в муниципальном вестнике МО «Хохорск»</w:t>
      </w:r>
    </w:p>
    <w:p w:rsidR="001713B9" w:rsidRPr="001713B9" w:rsidRDefault="001713B9" w:rsidP="001713B9">
      <w:pPr>
        <w:pStyle w:val="ac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1713B9" w:rsidRPr="001713B9" w:rsidRDefault="001713B9" w:rsidP="001713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13B9" w:rsidRPr="001713B9" w:rsidRDefault="001713B9" w:rsidP="001713B9">
      <w:pPr>
        <w:pStyle w:val="ac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1713B9" w:rsidRPr="001713B9" w:rsidRDefault="001713B9" w:rsidP="001713B9">
      <w:pPr>
        <w:pStyle w:val="ac"/>
        <w:spacing w:after="0"/>
        <w:ind w:left="1068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1713B9" w:rsidRPr="001713B9" w:rsidRDefault="001713B9" w:rsidP="001713B9">
      <w:pPr>
        <w:pStyle w:val="a7"/>
        <w:tabs>
          <w:tab w:val="left" w:pos="0"/>
        </w:tabs>
        <w:spacing w:after="0"/>
        <w:ind w:left="1068"/>
        <w:rPr>
          <w:rFonts w:ascii="Times New Roman" w:hAnsi="Times New Roman" w:cs="Times New Roman"/>
          <w:sz w:val="16"/>
          <w:szCs w:val="16"/>
        </w:rPr>
      </w:pPr>
      <w:r w:rsidRPr="001713B9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1713B9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1713B9">
        <w:rPr>
          <w:rFonts w:ascii="Times New Roman" w:hAnsi="Times New Roman" w:cs="Times New Roman"/>
          <w:sz w:val="16"/>
          <w:szCs w:val="16"/>
        </w:rPr>
        <w:t>.</w:t>
      </w:r>
    </w:p>
    <w:p w:rsidR="001713B9" w:rsidRPr="001713B9" w:rsidRDefault="001713B9" w:rsidP="001713B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3AD5" w:rsidRPr="001713B9" w:rsidRDefault="001A3AD5" w:rsidP="001A3AD5">
      <w:pPr>
        <w:rPr>
          <w:rFonts w:ascii="Times New Roman" w:hAnsi="Times New Roman" w:cs="Times New Roman"/>
          <w:sz w:val="16"/>
          <w:szCs w:val="16"/>
        </w:rPr>
      </w:pPr>
    </w:p>
    <w:p w:rsidR="004B547B" w:rsidRPr="001713B9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Pr="001713B9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713B9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1A3AD5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47B" w:rsidRDefault="004B547B" w:rsidP="004B547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B547B" w:rsidRPr="001A3AD5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A3AD5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A3AD5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1A3AD5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A3AD5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A3AD5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B547B" w:rsidRDefault="004B547B" w:rsidP="004B547B">
      <w:pPr>
        <w:spacing w:after="0"/>
        <w:jc w:val="right"/>
      </w:pPr>
      <w:r w:rsidRPr="001A3AD5">
        <w:rPr>
          <w:rFonts w:ascii="Times New Roman" w:hAnsi="Times New Roman" w:cs="Times New Roman"/>
          <w:sz w:val="16"/>
          <w:szCs w:val="16"/>
        </w:rPr>
        <w:t xml:space="preserve">  </w:t>
      </w:r>
      <w:r w:rsidR="00B840C3"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 w:rsidR="00A60DFB">
        <w:rPr>
          <w:rFonts w:ascii="Times New Roman" w:hAnsi="Times New Roman" w:cs="Times New Roman"/>
          <w:sz w:val="16"/>
          <w:szCs w:val="16"/>
        </w:rPr>
        <w:t>3</w:t>
      </w:r>
      <w:r w:rsidR="003226CF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.0</w:t>
      </w:r>
      <w:r w:rsidR="003226C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 2021  г</w:t>
      </w:r>
      <w:r>
        <w:t xml:space="preserve">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B547B" w:rsidRPr="004B2570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B547B" w:rsidRPr="004B2570" w:rsidRDefault="004B547B" w:rsidP="004B547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B547B" w:rsidRDefault="004B547B" w:rsidP="004B547B"/>
    <w:p w:rsidR="006B39AC" w:rsidRDefault="006B39AC" w:rsidP="006B39AC">
      <w:pPr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9AC" w:rsidRDefault="006B39AC" w:rsidP="006B39AC"/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62031" w:rsidRPr="00662031" w:rsidSect="00662031">
      <w:type w:val="continuous"/>
      <w:pgSz w:w="11906" w:h="16838"/>
      <w:pgMar w:top="1276" w:right="851" w:bottom="1134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CEF6A96"/>
    <w:multiLevelType w:val="hybridMultilevel"/>
    <w:tmpl w:val="C8281A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38A"/>
    <w:multiLevelType w:val="hybridMultilevel"/>
    <w:tmpl w:val="E53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250"/>
    <w:multiLevelType w:val="hybridMultilevel"/>
    <w:tmpl w:val="F3B8863E"/>
    <w:lvl w:ilvl="0" w:tplc="75EC6A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382D5B12"/>
    <w:multiLevelType w:val="hybridMultilevel"/>
    <w:tmpl w:val="A22CFBD4"/>
    <w:lvl w:ilvl="0" w:tplc="AC5E441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942C7"/>
    <w:multiLevelType w:val="hybridMultilevel"/>
    <w:tmpl w:val="7A7A2826"/>
    <w:lvl w:ilvl="0" w:tplc="081690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25"/>
    <w:rsid w:val="00017560"/>
    <w:rsid w:val="001713B9"/>
    <w:rsid w:val="001A3AD5"/>
    <w:rsid w:val="002070F5"/>
    <w:rsid w:val="003226CF"/>
    <w:rsid w:val="004B547B"/>
    <w:rsid w:val="00662031"/>
    <w:rsid w:val="006B39AC"/>
    <w:rsid w:val="0078313D"/>
    <w:rsid w:val="008B6141"/>
    <w:rsid w:val="00A60DFB"/>
    <w:rsid w:val="00AB4125"/>
    <w:rsid w:val="00B738AF"/>
    <w:rsid w:val="00B840C3"/>
    <w:rsid w:val="00BD1A11"/>
    <w:rsid w:val="00C7505E"/>
    <w:rsid w:val="00CE64B8"/>
    <w:rsid w:val="00D173BB"/>
    <w:rsid w:val="00F87DD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37704918032788E-2"/>
          <c:y val="0.12643678160919541"/>
          <c:w val="0.54426229508196722"/>
          <c:h val="0.75287356321839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21.9</c:v>
                </c:pt>
                <c:pt idx="2">
                  <c:v>57.7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09836065573768"/>
          <c:y val="0.21264367816091953"/>
          <c:w val="0.33934426229508197"/>
          <c:h val="0.5747126436781608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829228243021348E-2"/>
          <c:y val="0.30588235294117649"/>
          <c:w val="0.55336617405582922"/>
          <c:h val="0.391176470588235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26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326">
                <a:noFill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25326">
                <a:noFill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25326">
                <a:noFill/>
              </a:ln>
            </c:spPr>
          </c:dPt>
          <c:dPt>
            <c:idx val="4"/>
            <c:bubble3D val="0"/>
            <c:spPr>
              <a:solidFill>
                <a:srgbClr val="FF6600"/>
              </a:solidFill>
              <a:ln w="25326">
                <a:noFill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25326">
                <a:noFill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0.7</c:v>
                </c:pt>
                <c:pt idx="2">
                  <c:v>3</c:v>
                </c:pt>
                <c:pt idx="3">
                  <c:v>3.7</c:v>
                </c:pt>
                <c:pt idx="4">
                  <c:v>17.100000000000001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6600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FF8080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</c:numCache>
            </c:numRef>
          </c:val>
        </c:ser>
        <c:ser>
          <c:idx val="6"/>
          <c:order val="6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0066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Sheet1!$B$14:$G$14</c:f>
              <c:numCache>
                <c:formatCode>General</c:formatCode>
                <c:ptCount val="6"/>
              </c:numCache>
            </c:numRef>
          </c:val>
        </c:ser>
        <c:ser>
          <c:idx val="7"/>
          <c:order val="7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CCCC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Sheet1!$B$15:$G$15</c:f>
              <c:numCache>
                <c:formatCode>General</c:formatCode>
                <c:ptCount val="6"/>
              </c:numCache>
            </c:numRef>
          </c:val>
        </c:ser>
        <c:ser>
          <c:idx val="8"/>
          <c:order val="8"/>
          <c:tx>
            <c:strRef>
              <c:f>Sheet1!$A$22</c:f>
              <c:strCache>
                <c:ptCount val="1"/>
              </c:strCache>
            </c:strRef>
          </c:tx>
          <c:spPr>
            <a:solidFill>
              <a:srgbClr val="000080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Sheet1!$B$22:$G$22</c:f>
              <c:numCache>
                <c:formatCode>General</c:formatCode>
                <c:ptCount val="6"/>
              </c:numCache>
            </c:numRef>
          </c:val>
        </c:ser>
        <c:ser>
          <c:idx val="9"/>
          <c:order val="9"/>
          <c:tx>
            <c:strRef>
              <c:f>Sheet1!$A$23</c:f>
              <c:strCache>
                <c:ptCount val="1"/>
              </c:strCache>
            </c:strRef>
          </c:tx>
          <c:spPr>
            <a:solidFill>
              <a:srgbClr val="FF00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Sheet1!$B$23:$G$23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6338259441707714"/>
          <c:y val="2.9411764705882353E-2"/>
          <c:w val="0.33004926108374383"/>
          <c:h val="0.93823529411764706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dcterms:created xsi:type="dcterms:W3CDTF">2021-01-29T05:03:00Z</dcterms:created>
  <dcterms:modified xsi:type="dcterms:W3CDTF">2021-05-14T00:45:00Z</dcterms:modified>
</cp:coreProperties>
</file>